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FF05" w14:textId="77777777" w:rsidR="00917515" w:rsidRPr="008D2FC6" w:rsidRDefault="00917515">
      <w:pPr>
        <w:rPr>
          <w:b/>
        </w:rPr>
      </w:pPr>
      <w:bookmarkStart w:id="0" w:name="_GoBack"/>
      <w:bookmarkEnd w:id="0"/>
      <w:r w:rsidRPr="008D2FC6">
        <w:rPr>
          <w:b/>
        </w:rPr>
        <w:t>Referentielijst cursus neurodynamics</w:t>
      </w:r>
    </w:p>
    <w:p w14:paraId="78F75142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>
        <w:fldChar w:fldCharType="begin" w:fldLock="1"/>
      </w:r>
      <w:r w:rsidRPr="008D2FC6">
        <w:rPr>
          <w:lang w:val="de-DE"/>
        </w:rPr>
        <w:instrText xml:space="preserve">ADDIN Mendeley Bibliography CSL_BIBLIOGRAPHY </w:instrText>
      </w:r>
      <w:r>
        <w:fldChar w:fldCharType="separate"/>
      </w:r>
      <w:r w:rsidRPr="008D2FC6">
        <w:rPr>
          <w:rFonts w:ascii="Calibri" w:hAnsi="Calibri" w:cs="Calibri"/>
          <w:noProof/>
          <w:szCs w:val="24"/>
          <w:lang w:val="de-DE"/>
        </w:rPr>
        <w:t xml:space="preserve">Beneciuk JM, Bishop MD, &amp; George SZ. </w:t>
      </w:r>
      <w:r w:rsidRPr="008D2FC6">
        <w:rPr>
          <w:rFonts w:ascii="Calibri" w:hAnsi="Calibri" w:cs="Calibri"/>
          <w:noProof/>
          <w:szCs w:val="24"/>
        </w:rPr>
        <w:t xml:space="preserve">(2009). Effects of Upper Extremity Neural Mobilization on Thermal Pain Sensitivity: A Sham-Controlled Study in Asymptomatic Participants . </w:t>
      </w:r>
      <w:r w:rsidRPr="008D2FC6">
        <w:rPr>
          <w:rFonts w:ascii="Calibri" w:hAnsi="Calibri" w:cs="Calibri"/>
          <w:i/>
          <w:iCs/>
          <w:noProof/>
          <w:szCs w:val="24"/>
        </w:rPr>
        <w:t>J Orthop Sports Phys Ther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39</w:t>
      </w:r>
      <w:r w:rsidRPr="008D2FC6">
        <w:rPr>
          <w:rFonts w:ascii="Calibri" w:hAnsi="Calibri" w:cs="Calibri"/>
          <w:noProof/>
          <w:szCs w:val="24"/>
        </w:rPr>
        <w:t>(6), 428–438. Retrieved from http://www.jospt.org/issues/articleID.2319/article_detail.asp</w:t>
      </w:r>
    </w:p>
    <w:p w14:paraId="42F54723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Bialosky JE, Bishop MD, Price DD, Robinson ME, Vincent KR, &amp; George SZ. (2009). A Randomized Sham-Controlled Trial of a Neurodynamic Technique in the Treatment of Carpal Tunnel Syndrome . </w:t>
      </w:r>
      <w:r w:rsidRPr="008D2FC6">
        <w:rPr>
          <w:rFonts w:ascii="Calibri" w:hAnsi="Calibri" w:cs="Calibri"/>
          <w:i/>
          <w:iCs/>
          <w:noProof/>
          <w:szCs w:val="24"/>
        </w:rPr>
        <w:t>J Orthop Sports Phys Ther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39</w:t>
      </w:r>
      <w:r w:rsidRPr="008D2FC6">
        <w:rPr>
          <w:rFonts w:ascii="Calibri" w:hAnsi="Calibri" w:cs="Calibri"/>
          <w:noProof/>
          <w:szCs w:val="24"/>
        </w:rPr>
        <w:t>(10), 709–723. Retrieved from http://www.jospt.org/issues/articleID.2352/article_detail.asp</w:t>
      </w:r>
    </w:p>
    <w:p w14:paraId="56B6F4C9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Butler, D. (2000). </w:t>
      </w:r>
      <w:r w:rsidRPr="008D2FC6">
        <w:rPr>
          <w:rFonts w:ascii="Calibri" w:hAnsi="Calibri" w:cs="Calibri"/>
          <w:i/>
          <w:iCs/>
          <w:noProof/>
          <w:szCs w:val="24"/>
        </w:rPr>
        <w:t>The Sensitive nervous System</w:t>
      </w:r>
      <w:r w:rsidRPr="008D2FC6">
        <w:rPr>
          <w:rFonts w:ascii="Calibri" w:hAnsi="Calibri" w:cs="Calibri"/>
          <w:noProof/>
          <w:szCs w:val="24"/>
        </w:rPr>
        <w:t xml:space="preserve"> (1st ed.). Adelaide: NOI group Publications.</w:t>
      </w:r>
    </w:p>
    <w:p w14:paraId="43D9B283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Chandler, M. J., Zhang, J., &amp; Foreman, R. D. (1998). Phrenic nerve inputs to upper cervical (C1-C3) spinothalamic tract neurons in monkeys. </w:t>
      </w:r>
      <w:r w:rsidRPr="008D2FC6">
        <w:rPr>
          <w:rFonts w:ascii="Calibri" w:hAnsi="Calibri" w:cs="Calibri"/>
          <w:i/>
          <w:iCs/>
          <w:noProof/>
          <w:szCs w:val="24"/>
        </w:rPr>
        <w:t>Brain Research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798</w:t>
      </w:r>
      <w:r w:rsidRPr="008D2FC6">
        <w:rPr>
          <w:rFonts w:ascii="Calibri" w:hAnsi="Calibri" w:cs="Calibri"/>
          <w:noProof/>
          <w:szCs w:val="24"/>
        </w:rPr>
        <w:t>(1–2), 93–100. Retrieved from http://www.ncbi.nlm.nih.gov/pubmed/9666091</w:t>
      </w:r>
    </w:p>
    <w:p w14:paraId="11A23039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Chen, C., Lu, Y., Kallakuri, S., Patwardhan, A., &amp; Cavanaugh, J. M. (2006). Distribution of A-{delta} and C-Fiber Receptors in the Cervical Facet Joint Capsule and Their Response to Stretch. </w:t>
      </w:r>
      <w:r w:rsidRPr="008D2FC6">
        <w:rPr>
          <w:rFonts w:ascii="Calibri" w:hAnsi="Calibri" w:cs="Calibri"/>
          <w:i/>
          <w:iCs/>
          <w:noProof/>
          <w:szCs w:val="24"/>
        </w:rPr>
        <w:t>J Bone Joint Surg Am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88</w:t>
      </w:r>
      <w:r w:rsidRPr="008D2FC6">
        <w:rPr>
          <w:rFonts w:ascii="Calibri" w:hAnsi="Calibri" w:cs="Calibri"/>
          <w:noProof/>
          <w:szCs w:val="24"/>
        </w:rPr>
        <w:t>(8), 1807–1816. https://doi.org/10.2106/jbjs.e.00880</w:t>
      </w:r>
    </w:p>
    <w:p w14:paraId="1620AC03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Coppieters MW, Alshami AM, &amp; Hodges PW. (2006). An experimental pain model to investigate the specificity of the neurodynamic test for the median nerve in the differential diagnosis of hand symptoms. </w:t>
      </w:r>
      <w:r w:rsidRPr="008D2FC6">
        <w:rPr>
          <w:rFonts w:ascii="Calibri" w:hAnsi="Calibri" w:cs="Calibri"/>
          <w:i/>
          <w:iCs/>
          <w:noProof/>
          <w:szCs w:val="24"/>
        </w:rPr>
        <w:t>Arch Phys Med Rehabil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87</w:t>
      </w:r>
      <w:r w:rsidRPr="008D2FC6">
        <w:rPr>
          <w:rFonts w:ascii="Calibri" w:hAnsi="Calibri" w:cs="Calibri"/>
          <w:noProof/>
          <w:szCs w:val="24"/>
        </w:rPr>
        <w:t>(10), 1412–1417. https://doi.org/PMID: 17023255</w:t>
      </w:r>
    </w:p>
    <w:p w14:paraId="7E73B67E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Dilley A, Lynn B, &amp; Pang SJ. (2005). Pressure and stretch mechanosensitivity of peripheral nerve fibres following local inflammation of the nerve trunk. </w:t>
      </w:r>
      <w:r w:rsidRPr="008D2FC6">
        <w:rPr>
          <w:rFonts w:ascii="Calibri" w:hAnsi="Calibri" w:cs="Calibri"/>
          <w:i/>
          <w:iCs/>
          <w:noProof/>
          <w:szCs w:val="24"/>
        </w:rPr>
        <w:t>Pain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117</w:t>
      </w:r>
      <w:r w:rsidRPr="008D2FC6">
        <w:rPr>
          <w:rFonts w:ascii="Calibri" w:hAnsi="Calibri" w:cs="Calibri"/>
          <w:noProof/>
          <w:szCs w:val="24"/>
        </w:rPr>
        <w:t>(3), 462–472. Retrieved from http://linkinghub.elsevier.com/retrieve/pii/S0304395905004173?showall=true</w:t>
      </w:r>
    </w:p>
    <w:p w14:paraId="382D03F3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b/>
          <w:noProof/>
          <w:color w:val="FF0000"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Ekstrom R, &amp; Holden K. (2002). Examination of and intervention for a patient with chronic lateral elbow pain with signs of nerve entrapment. </w:t>
      </w:r>
      <w:r w:rsidRPr="008D2FC6">
        <w:rPr>
          <w:rFonts w:ascii="Calibri" w:hAnsi="Calibri" w:cs="Calibri"/>
          <w:i/>
          <w:iCs/>
          <w:noProof/>
          <w:szCs w:val="24"/>
        </w:rPr>
        <w:t>Physical Therapy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82</w:t>
      </w:r>
      <w:r w:rsidRPr="008D2FC6">
        <w:rPr>
          <w:rFonts w:ascii="Calibri" w:hAnsi="Calibri" w:cs="Calibri"/>
          <w:noProof/>
          <w:szCs w:val="24"/>
        </w:rPr>
        <w:t>, 1077–1086.</w:t>
      </w:r>
      <w:r>
        <w:rPr>
          <w:rFonts w:ascii="Calibri" w:hAnsi="Calibri" w:cs="Calibri"/>
          <w:noProof/>
          <w:szCs w:val="24"/>
        </w:rPr>
        <w:t xml:space="preserve"> </w:t>
      </w:r>
    </w:p>
    <w:p w14:paraId="31FD44A4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Hamouda M. (2003). The neural tissue provocation test as a diagnostic tool in the assessment of cervicobrachial pain disorders: a critical appraisal. </w:t>
      </w:r>
      <w:r w:rsidRPr="008D2FC6">
        <w:rPr>
          <w:rFonts w:ascii="Calibri" w:hAnsi="Calibri" w:cs="Calibri"/>
          <w:i/>
          <w:iCs/>
          <w:noProof/>
          <w:szCs w:val="24"/>
        </w:rPr>
        <w:t>Medicine</w:t>
      </w:r>
      <w:r w:rsidRPr="008D2FC6">
        <w:rPr>
          <w:rFonts w:ascii="Calibri" w:hAnsi="Calibri" w:cs="Calibri"/>
          <w:noProof/>
          <w:szCs w:val="24"/>
        </w:rPr>
        <w:t>. Cardiff: University of Wales College of Medicine. Retrieved from http://www.physiotherapie-charlottenburg.net/MasterThesis_M_Hamouda.pdf</w:t>
      </w:r>
    </w:p>
    <w:p w14:paraId="5C3F065E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Jaberzadeh S, Scutter S, &amp; Nazeran H. (2005). Mechanosensitivity of the median nerve and mechanically produced motor responses during upper limb neurodynamic test 1. </w:t>
      </w:r>
      <w:r w:rsidRPr="008D2FC6">
        <w:rPr>
          <w:rFonts w:ascii="Calibri" w:hAnsi="Calibri" w:cs="Calibri"/>
          <w:i/>
          <w:iCs/>
          <w:noProof/>
          <w:szCs w:val="24"/>
        </w:rPr>
        <w:t>Physiother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91</w:t>
      </w:r>
      <w:r w:rsidRPr="008D2FC6">
        <w:rPr>
          <w:rFonts w:ascii="Calibri" w:hAnsi="Calibri" w:cs="Calibri"/>
          <w:noProof/>
          <w:szCs w:val="24"/>
        </w:rPr>
        <w:t>, 94–100. Retrieved from http://www.drwilliamsilva.com.br/files/artigos/artigo09.pdf</w:t>
      </w:r>
    </w:p>
    <w:p w14:paraId="78E4263A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Johnson M. (1997). The physiology of the sensory dimensions of clinical pain. </w:t>
      </w:r>
      <w:r w:rsidRPr="008D2FC6">
        <w:rPr>
          <w:rFonts w:ascii="Calibri" w:hAnsi="Calibri" w:cs="Calibri"/>
          <w:i/>
          <w:iCs/>
          <w:noProof/>
          <w:szCs w:val="24"/>
        </w:rPr>
        <w:t>Physiotherapy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83</w:t>
      </w:r>
      <w:r w:rsidRPr="008D2FC6">
        <w:rPr>
          <w:rFonts w:ascii="Calibri" w:hAnsi="Calibri" w:cs="Calibri"/>
          <w:noProof/>
          <w:szCs w:val="24"/>
        </w:rPr>
        <w:t>, 526–536.</w:t>
      </w:r>
    </w:p>
    <w:p w14:paraId="639B765B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Loeser JD. (2001). Cervicobrachial Neuralgia. In Loeser JD (Ed.), </w:t>
      </w:r>
      <w:r w:rsidRPr="008D2FC6">
        <w:rPr>
          <w:rFonts w:ascii="Calibri" w:hAnsi="Calibri" w:cs="Calibri"/>
          <w:i/>
          <w:iCs/>
          <w:noProof/>
          <w:szCs w:val="24"/>
        </w:rPr>
        <w:t>Bonica’s Management of Pain</w:t>
      </w:r>
      <w:r w:rsidRPr="008D2FC6">
        <w:rPr>
          <w:rFonts w:ascii="Calibri" w:hAnsi="Calibri" w:cs="Calibri"/>
          <w:noProof/>
          <w:szCs w:val="24"/>
        </w:rPr>
        <w:t xml:space="preserve"> (pp. 1003–1019). Philadelphia: Lippincott Williams &amp; Wilkins.</w:t>
      </w:r>
    </w:p>
    <w:p w14:paraId="5E18617D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Shacklock, M. (2005). Improving application of neurodynamic (neural tension) testing and treatments: a message to researchers and clinicians. </w:t>
      </w:r>
      <w:r w:rsidRPr="008D2FC6">
        <w:rPr>
          <w:rFonts w:ascii="Calibri" w:hAnsi="Calibri" w:cs="Calibri"/>
          <w:i/>
          <w:iCs/>
          <w:noProof/>
          <w:szCs w:val="24"/>
        </w:rPr>
        <w:t>Manual Therapy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10</w:t>
      </w:r>
      <w:r w:rsidRPr="008D2FC6">
        <w:rPr>
          <w:rFonts w:ascii="Calibri" w:hAnsi="Calibri" w:cs="Calibri"/>
          <w:noProof/>
          <w:szCs w:val="24"/>
        </w:rPr>
        <w:t>(3), 175–9. https://doi.org/10.1016/j.math.2005.03.001</w:t>
      </w:r>
    </w:p>
    <w:p w14:paraId="6860EFD8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Tampin, B., Slater, H., Hall, T., Lee, G., &amp; Briffa, N. K. (2012). Quantitative sensory testing somatosensory profiles in patients with cervical radiculopathy are distinct from those in patients with nonspecific neck-arm pain. </w:t>
      </w:r>
      <w:r w:rsidRPr="008D2FC6">
        <w:rPr>
          <w:rFonts w:ascii="Calibri" w:hAnsi="Calibri" w:cs="Calibri"/>
          <w:i/>
          <w:iCs/>
          <w:noProof/>
          <w:szCs w:val="24"/>
        </w:rPr>
        <w:t>Pain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153</w:t>
      </w:r>
      <w:r w:rsidRPr="008D2FC6">
        <w:rPr>
          <w:rFonts w:ascii="Calibri" w:hAnsi="Calibri" w:cs="Calibri"/>
          <w:noProof/>
          <w:szCs w:val="24"/>
        </w:rPr>
        <w:t>(12), 2403–14. https://doi.org/10.1016/j.pain.2012.08.007</w:t>
      </w:r>
    </w:p>
    <w:p w14:paraId="69DE1FD6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van der Heide, B., Allison, G. T., &amp; Zusman, M. (2001). Pain and muscular responses to a neural tissue </w:t>
      </w:r>
      <w:r w:rsidRPr="008D2FC6">
        <w:rPr>
          <w:rFonts w:ascii="Calibri" w:hAnsi="Calibri" w:cs="Calibri"/>
          <w:noProof/>
          <w:szCs w:val="24"/>
        </w:rPr>
        <w:lastRenderedPageBreak/>
        <w:t xml:space="preserve">provocation test in the upper limb. </w:t>
      </w:r>
      <w:r w:rsidRPr="008D2FC6">
        <w:rPr>
          <w:rFonts w:ascii="Calibri" w:hAnsi="Calibri" w:cs="Calibri"/>
          <w:i/>
          <w:iCs/>
          <w:noProof/>
          <w:szCs w:val="24"/>
        </w:rPr>
        <w:t>Manual Therapy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6</w:t>
      </w:r>
      <w:r w:rsidRPr="008D2FC6">
        <w:rPr>
          <w:rFonts w:ascii="Calibri" w:hAnsi="Calibri" w:cs="Calibri"/>
          <w:noProof/>
          <w:szCs w:val="24"/>
        </w:rPr>
        <w:t>(3), 154–162. Retrieved from http://www.sciencedirect.com/science/article/B6WN0-456JPG4-M/2/96bfce77b12ef7c07558a64910adacb5</w:t>
      </w:r>
    </w:p>
    <w:p w14:paraId="097843F0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8D2FC6">
        <w:rPr>
          <w:rFonts w:ascii="Calibri" w:hAnsi="Calibri" w:cs="Calibri"/>
          <w:noProof/>
          <w:szCs w:val="24"/>
        </w:rPr>
        <w:t xml:space="preserve">van der Heide B, Bourgoin C, Eils G, Garnevall B, Blackmore M, Heide, B., … Blackmore, M. (2006). Test-retest reliability and face validity of a modified neural tissue provocation test in patients with cervicobrachial pain syndrome. </w:t>
      </w:r>
      <w:r w:rsidRPr="008D2FC6">
        <w:rPr>
          <w:rFonts w:ascii="Calibri" w:hAnsi="Calibri" w:cs="Calibri"/>
          <w:i/>
          <w:iCs/>
          <w:noProof/>
          <w:szCs w:val="24"/>
        </w:rPr>
        <w:t>J Man Manip Ther</w:t>
      </w:r>
      <w:r w:rsidRPr="008D2FC6">
        <w:rPr>
          <w:rFonts w:ascii="Calibri" w:hAnsi="Calibri" w:cs="Calibri"/>
          <w:noProof/>
          <w:szCs w:val="24"/>
        </w:rPr>
        <w:t xml:space="preserve">, </w:t>
      </w:r>
      <w:r w:rsidRPr="008D2FC6">
        <w:rPr>
          <w:rFonts w:ascii="Calibri" w:hAnsi="Calibri" w:cs="Calibri"/>
          <w:i/>
          <w:iCs/>
          <w:noProof/>
          <w:szCs w:val="24"/>
        </w:rPr>
        <w:t>14</w:t>
      </w:r>
      <w:r w:rsidRPr="008D2FC6">
        <w:rPr>
          <w:rFonts w:ascii="Calibri" w:hAnsi="Calibri" w:cs="Calibri"/>
          <w:noProof/>
          <w:szCs w:val="24"/>
        </w:rPr>
        <w:t>(1), 30–36. https://doi.org/DOI: 10.1179/106698106790820863</w:t>
      </w:r>
    </w:p>
    <w:p w14:paraId="65D316F1" w14:textId="77777777" w:rsidR="008D2FC6" w:rsidRPr="008D2FC6" w:rsidRDefault="008D2FC6" w:rsidP="008D2FC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8D2FC6">
        <w:rPr>
          <w:rFonts w:ascii="Calibri" w:hAnsi="Calibri" w:cs="Calibri"/>
          <w:noProof/>
          <w:szCs w:val="24"/>
        </w:rPr>
        <w:t xml:space="preserve">Wells PW. (2003). Adverse neurodynamics and musculo-skeletal pain. </w:t>
      </w:r>
      <w:r w:rsidRPr="008D2FC6">
        <w:rPr>
          <w:rFonts w:ascii="Calibri" w:hAnsi="Calibri" w:cs="Calibri"/>
          <w:i/>
          <w:iCs/>
          <w:noProof/>
          <w:szCs w:val="24"/>
        </w:rPr>
        <w:t>J of MTIGB</w:t>
      </w:r>
      <w:r w:rsidRPr="008D2FC6">
        <w:rPr>
          <w:rFonts w:ascii="Calibri" w:hAnsi="Calibri" w:cs="Calibri"/>
          <w:noProof/>
          <w:szCs w:val="24"/>
        </w:rPr>
        <w:t>.</w:t>
      </w:r>
    </w:p>
    <w:p w14:paraId="6E2403B3" w14:textId="77777777" w:rsidR="008D2FC6" w:rsidRDefault="008D2FC6">
      <w:r>
        <w:fldChar w:fldCharType="end"/>
      </w:r>
    </w:p>
    <w:p w14:paraId="76AED64C" w14:textId="77777777" w:rsidR="00917515" w:rsidRDefault="00917515"/>
    <w:sectPr w:rsidR="0091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15"/>
    <w:rsid w:val="006E192D"/>
    <w:rsid w:val="008D2FC6"/>
    <w:rsid w:val="009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8D9"/>
  <w15:chartTrackingRefBased/>
  <w15:docId w15:val="{BA4A9A9D-40D7-4697-B3F2-02ACE45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43C6-F285-443C-8DA8-AA45A54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Pauly</dc:creator>
  <cp:keywords/>
  <dc:description/>
  <cp:lastModifiedBy>Outlook Mail</cp:lastModifiedBy>
  <cp:revision>2</cp:revision>
  <dcterms:created xsi:type="dcterms:W3CDTF">2019-02-24T16:06:00Z</dcterms:created>
  <dcterms:modified xsi:type="dcterms:W3CDTF">2019-02-24T16:06:00Z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9596b368-85dc-3732-8fca-a3a3dc133973</vt:lpwstr>
  </property>
  <property fmtid="{D5CDD505-2E9C-101B-9397-08002B2CF9AE}" pid="24" name="Mendeley Citation Style_1">
    <vt:lpwstr>http://www.zotero.org/styles/apa</vt:lpwstr>
  </property>
</Properties>
</file>